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83" w:firstLineChars="200"/>
        <w:jc w:val="center"/>
        <w:textAlignment w:val="auto"/>
        <w:rPr>
          <w:rFonts w:hint="default"/>
          <w:lang w:val="en-US" w:eastAsia="zh-CN"/>
        </w:rPr>
      </w:pPr>
      <w:bookmarkStart w:id="0" w:name="_Toc24285"/>
      <w:r>
        <w:rPr>
          <w:rFonts w:hint="eastAsia" w:ascii="Times New Roman" w:hAnsi="Times New Roman" w:eastAsia="仿宋" w:cs="Times New Roman"/>
          <w:b/>
          <w:bCs/>
          <w:sz w:val="44"/>
          <w:szCs w:val="44"/>
          <w:lang w:val="en-US" w:eastAsia="zh-CN"/>
        </w:rPr>
        <w:t>土壤地下水2024年监测方案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default" w:ascii="Times New Roman" w:hAnsi="Times New Roman" w:eastAsia="仿宋" w:cs="Times New Roman"/>
          <w:lang w:val="en-US" w:eastAsia="zh-CN"/>
        </w:rPr>
      </w:pPr>
      <w:r>
        <w:rPr>
          <w:rFonts w:hint="eastAsia" w:ascii="Times New Roman" w:hAnsi="Times New Roman" w:eastAsia="仿宋" w:cs="Times New Roman"/>
          <w:lang w:val="en-US" w:eastAsia="zh-CN"/>
        </w:rPr>
        <w:t>根据2023年制订的土壤地下水自行监测计划，</w:t>
      </w:r>
      <w:r>
        <w:rPr>
          <w:rFonts w:hint="default" w:ascii="Times New Roman" w:hAnsi="Times New Roman" w:eastAsia="仿宋" w:cs="Times New Roman"/>
          <w:lang w:val="en-US" w:eastAsia="zh-CN"/>
        </w:rPr>
        <w:t>布点范围区域共设置</w:t>
      </w:r>
      <w:r>
        <w:rPr>
          <w:rFonts w:hint="eastAsia" w:ascii="Times New Roman" w:hAnsi="Times New Roman" w:eastAsia="仿宋" w:cs="Times New Roman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lang w:val="en-US" w:eastAsia="zh-CN"/>
        </w:rPr>
        <w:t>个土壤监测点（包含1个土壤</w:t>
      </w:r>
      <w:r>
        <w:rPr>
          <w:rFonts w:hint="eastAsia" w:ascii="Times New Roman" w:hAnsi="Times New Roman" w:eastAsia="仿宋" w:cs="Times New Roman"/>
          <w:lang w:val="en-US" w:eastAsia="zh-CN"/>
        </w:rPr>
        <w:t>对照点</w:t>
      </w:r>
      <w:r>
        <w:rPr>
          <w:rFonts w:hint="default" w:ascii="Times New Roman" w:hAnsi="Times New Roman" w:eastAsia="仿宋" w:cs="Times New Roman"/>
          <w:lang w:val="en-US" w:eastAsia="zh-CN"/>
        </w:rPr>
        <w:t>）和</w:t>
      </w:r>
      <w:r>
        <w:rPr>
          <w:rFonts w:hint="eastAsia" w:ascii="Times New Roman" w:hAnsi="Times New Roman" w:eastAsia="仿宋" w:cs="Times New Roman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lang w:val="en-US" w:eastAsia="zh-CN"/>
        </w:rPr>
        <w:t>个地下水监测点（包含1个地下水</w:t>
      </w:r>
      <w:r>
        <w:rPr>
          <w:rFonts w:hint="eastAsia" w:ascii="Times New Roman" w:hAnsi="Times New Roman" w:eastAsia="仿宋" w:cs="Times New Roman"/>
          <w:lang w:val="en-US" w:eastAsia="zh-CN"/>
        </w:rPr>
        <w:t>对照</w:t>
      </w:r>
      <w:r>
        <w:rPr>
          <w:rFonts w:hint="default" w:ascii="Times New Roman" w:hAnsi="Times New Roman" w:eastAsia="仿宋" w:cs="Times New Roman"/>
          <w:lang w:val="en-US" w:eastAsia="zh-CN"/>
        </w:rPr>
        <w:t>点</w:t>
      </w:r>
      <w:r>
        <w:rPr>
          <w:rFonts w:hint="eastAsia" w:ascii="Times New Roman" w:hAnsi="Times New Roman" w:eastAsia="仿宋" w:cs="Times New Roman"/>
          <w:lang w:val="en-US" w:eastAsia="zh-CN"/>
        </w:rPr>
        <w:t>D</w:t>
      </w:r>
      <w:r>
        <w:rPr>
          <w:rFonts w:hint="default" w:ascii="Times New Roman" w:hAnsi="Times New Roman" w:eastAsia="仿宋" w:cs="Times New Roman"/>
          <w:lang w:val="en-US" w:eastAsia="zh-CN"/>
        </w:rPr>
        <w:t>S1）。具体点位布设位置如</w:t>
      </w:r>
      <w:r>
        <w:rPr>
          <w:rFonts w:hint="eastAsia" w:ascii="Times New Roman" w:hAnsi="Times New Roman" w:eastAsia="仿宋" w:cs="Times New Roman"/>
          <w:lang w:val="en-US" w:eastAsia="zh-CN"/>
        </w:rPr>
        <w:t>下</w:t>
      </w:r>
      <w:r>
        <w:rPr>
          <w:rFonts w:hint="default" w:ascii="Times New Roman" w:hAnsi="Times New Roman" w:eastAsia="仿宋" w:cs="Times New Roman"/>
          <w:lang w:val="en-US" w:eastAsia="zh-CN"/>
        </w:rPr>
        <w:t>图所示。</w:t>
      </w:r>
    </w:p>
    <w:p>
      <w:pPr>
        <w:pStyle w:val="2"/>
        <w:rPr>
          <w:rFonts w:hint="eastAsia" w:ascii="Times New Roman" w:hAnsi="Times New Roman" w:eastAsia="仿宋" w:cs="Times New Roman"/>
          <w:lang w:val="en-US" w:eastAsia="zh-CN"/>
        </w:rPr>
      </w:pPr>
      <w:r>
        <w:rPr>
          <w:rFonts w:hint="eastAsia" w:ascii="Times New Roman" w:hAnsi="Times New Roman" w:eastAsia="仿宋" w:cs="Times New Roman"/>
          <w:lang w:val="en-US" w:eastAsia="zh-CN"/>
        </w:rPr>
        <w:t>监测频次：</w:t>
      </w:r>
    </w:p>
    <w:p>
      <w:pPr>
        <w:pStyle w:val="2"/>
        <w:rPr>
          <w:rFonts w:hint="eastAsia" w:ascii="Times New Roman" w:hAnsi="Times New Roman" w:eastAsia="仿宋" w:cs="Times New Roman"/>
          <w:lang w:val="en-US" w:eastAsia="zh-CN"/>
        </w:rPr>
      </w:pPr>
      <w:r>
        <w:rPr>
          <w:rFonts w:hint="eastAsia" w:ascii="Times New Roman" w:hAnsi="Times New Roman" w:eastAsia="仿宋" w:cs="Times New Roman"/>
          <w:lang w:val="en-US" w:eastAsia="zh-CN"/>
        </w:rPr>
        <w:t>地下水：半年一次</w:t>
      </w:r>
    </w:p>
    <w:p>
      <w:pPr>
        <w:pStyle w:val="2"/>
        <w:rPr>
          <w:rFonts w:hint="default" w:ascii="Times New Roman" w:hAnsi="Times New Roman" w:eastAsia="仿宋" w:cs="Times New Roman"/>
          <w:lang w:val="en-US" w:eastAsia="zh-CN"/>
        </w:rPr>
      </w:pPr>
      <w:r>
        <w:rPr>
          <w:rFonts w:hint="eastAsia" w:ascii="Times New Roman" w:hAnsi="Times New Roman" w:eastAsia="仿宋" w:cs="Times New Roman"/>
          <w:lang w:val="en-US" w:eastAsia="zh-CN"/>
        </w:rPr>
        <w:t>土壤：表层土壤，一年一次；深层土壤（2023年已监测），三年一次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土壤和地下水监测点位布设原因分析表</w:t>
      </w:r>
    </w:p>
    <w:tbl>
      <w:tblPr>
        <w:tblStyle w:val="7"/>
        <w:tblW w:w="13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403"/>
        <w:gridCol w:w="1605"/>
        <w:gridCol w:w="2023"/>
        <w:gridCol w:w="1566"/>
        <w:gridCol w:w="1840"/>
        <w:gridCol w:w="1827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点位类型</w:t>
            </w:r>
          </w:p>
        </w:tc>
        <w:tc>
          <w:tcPr>
            <w:tcW w:w="1403" w:type="dxa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点位编号</w:t>
            </w:r>
          </w:p>
        </w:tc>
        <w:tc>
          <w:tcPr>
            <w:tcW w:w="1605" w:type="dxa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布点位置</w:t>
            </w:r>
          </w:p>
        </w:tc>
        <w:tc>
          <w:tcPr>
            <w:tcW w:w="2023" w:type="dxa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布点位置确定理由</w:t>
            </w:r>
          </w:p>
        </w:tc>
        <w:tc>
          <w:tcPr>
            <w:tcW w:w="1566" w:type="dxa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土壤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地下水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钻探深度</w:t>
            </w:r>
          </w:p>
        </w:tc>
        <w:tc>
          <w:tcPr>
            <w:tcW w:w="1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筛管深度范围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地面硬化情况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地下设施、储罐和管线等情况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土壤地下水对照点</w:t>
            </w:r>
          </w:p>
        </w:tc>
        <w:tc>
          <w:tcPr>
            <w:tcW w:w="1403" w:type="dxa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DS1/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vertAlign w:val="baseline"/>
                <w:lang w:eastAsia="zh-CN"/>
              </w:rPr>
              <w:t>D</w:t>
            </w:r>
            <w:r>
              <w:rPr>
                <w:rFonts w:hint="eastAsia" w:ascii="Times New Roman" w:hAnsi="Times New Roman" w:eastAsia="仿宋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GW1</w:t>
            </w:r>
          </w:p>
        </w:tc>
        <w:tc>
          <w:tcPr>
            <w:tcW w:w="1605" w:type="dxa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地块</w:t>
            </w:r>
            <w:r>
              <w:rPr>
                <w:rFonts w:hint="eastAsia" w:ascii="Times New Roman" w:hAnsi="Times New Roman" w:eastAsia="仿宋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西北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侧空地</w:t>
            </w:r>
          </w:p>
        </w:tc>
        <w:tc>
          <w:tcPr>
            <w:tcW w:w="2023" w:type="dxa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用于表征该区域土壤和地下水环境本底值</w:t>
            </w:r>
          </w:p>
        </w:tc>
        <w:tc>
          <w:tcPr>
            <w:tcW w:w="1566" w:type="dxa"/>
            <w:vMerge w:val="restart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6.0m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（地下水潜水层）</w:t>
            </w:r>
          </w:p>
        </w:tc>
        <w:tc>
          <w:tcPr>
            <w:tcW w:w="1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0.5-6.0m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无硬化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restart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地下水监测点位</w:t>
            </w:r>
          </w:p>
        </w:tc>
        <w:tc>
          <w:tcPr>
            <w:tcW w:w="1403" w:type="dxa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GW1</w:t>
            </w:r>
          </w:p>
        </w:tc>
        <w:tc>
          <w:tcPr>
            <w:tcW w:w="1605" w:type="dxa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污水站西侧</w:t>
            </w:r>
          </w:p>
        </w:tc>
        <w:tc>
          <w:tcPr>
            <w:tcW w:w="2023" w:type="dxa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污水站区域，且表面未做硬化</w:t>
            </w:r>
          </w:p>
        </w:tc>
        <w:tc>
          <w:tcPr>
            <w:tcW w:w="1566" w:type="dxa"/>
            <w:vMerge w:val="continue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0.5-6.0m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无硬化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GW2</w:t>
            </w:r>
          </w:p>
        </w:tc>
        <w:tc>
          <w:tcPr>
            <w:tcW w:w="1605" w:type="dxa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生产车间1东北角</w:t>
            </w:r>
          </w:p>
        </w:tc>
        <w:tc>
          <w:tcPr>
            <w:tcW w:w="2023" w:type="dxa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企业原有监测井，靠近生产车间</w:t>
            </w:r>
          </w:p>
        </w:tc>
        <w:tc>
          <w:tcPr>
            <w:tcW w:w="1566" w:type="dxa"/>
            <w:vMerge w:val="continue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0.5-6.0m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无硬化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GW3</w:t>
            </w:r>
          </w:p>
        </w:tc>
        <w:tc>
          <w:tcPr>
            <w:tcW w:w="1605" w:type="dxa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生产车间1东侧</w:t>
            </w:r>
          </w:p>
        </w:tc>
        <w:tc>
          <w:tcPr>
            <w:tcW w:w="2023" w:type="dxa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生产区域，且表面未做硬化</w:t>
            </w:r>
          </w:p>
        </w:tc>
        <w:tc>
          <w:tcPr>
            <w:tcW w:w="1566" w:type="dxa"/>
            <w:vMerge w:val="continue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0.5-6.0m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无硬化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GW4</w:t>
            </w:r>
          </w:p>
        </w:tc>
        <w:tc>
          <w:tcPr>
            <w:tcW w:w="1605" w:type="dxa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" w:cs="Times New Roman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废包装桶仓库西侧</w:t>
            </w:r>
          </w:p>
        </w:tc>
        <w:tc>
          <w:tcPr>
            <w:tcW w:w="2023" w:type="dxa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" w:cs="Times New Roman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企业原有监测井，靠近危废仓库和废包装桶仓库</w:t>
            </w:r>
          </w:p>
        </w:tc>
        <w:tc>
          <w:tcPr>
            <w:tcW w:w="1566" w:type="dxa"/>
            <w:vMerge w:val="continue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0.5-6.0m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无硬化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restart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土壤监测点位</w:t>
            </w:r>
          </w:p>
        </w:tc>
        <w:tc>
          <w:tcPr>
            <w:tcW w:w="1403" w:type="dxa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S1</w:t>
            </w:r>
          </w:p>
        </w:tc>
        <w:tc>
          <w:tcPr>
            <w:tcW w:w="1605" w:type="dxa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污水站西侧</w:t>
            </w:r>
          </w:p>
        </w:tc>
        <w:tc>
          <w:tcPr>
            <w:tcW w:w="2023" w:type="dxa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污水站区域，且表面未做硬化</w:t>
            </w:r>
          </w:p>
        </w:tc>
        <w:tc>
          <w:tcPr>
            <w:tcW w:w="156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略低于隐蔽性底部与土壤的接触面</w:t>
            </w:r>
          </w:p>
        </w:tc>
        <w:tc>
          <w:tcPr>
            <w:tcW w:w="1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无硬化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S2</w:t>
            </w:r>
          </w:p>
        </w:tc>
        <w:tc>
          <w:tcPr>
            <w:tcW w:w="1605" w:type="dxa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污水站东侧</w:t>
            </w:r>
          </w:p>
        </w:tc>
        <w:tc>
          <w:tcPr>
            <w:tcW w:w="2023" w:type="dxa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污水站区域，且表面未做硬化</w:t>
            </w:r>
          </w:p>
        </w:tc>
        <w:tc>
          <w:tcPr>
            <w:tcW w:w="156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0-0.5，表层</w:t>
            </w:r>
          </w:p>
        </w:tc>
        <w:tc>
          <w:tcPr>
            <w:tcW w:w="1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无硬化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S3</w:t>
            </w:r>
          </w:p>
        </w:tc>
        <w:tc>
          <w:tcPr>
            <w:tcW w:w="1605" w:type="dxa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生产车间1东北角</w:t>
            </w:r>
          </w:p>
        </w:tc>
        <w:tc>
          <w:tcPr>
            <w:tcW w:w="2023" w:type="dxa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生产车间区域，且表面未做硬化</w:t>
            </w:r>
          </w:p>
        </w:tc>
        <w:tc>
          <w:tcPr>
            <w:tcW w:w="156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略低于隐蔽性底部与土壤的接触面</w:t>
            </w:r>
          </w:p>
        </w:tc>
        <w:tc>
          <w:tcPr>
            <w:tcW w:w="1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无硬化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S4</w:t>
            </w:r>
          </w:p>
        </w:tc>
        <w:tc>
          <w:tcPr>
            <w:tcW w:w="1605" w:type="dxa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生产车间1西南角</w:t>
            </w:r>
          </w:p>
        </w:tc>
        <w:tc>
          <w:tcPr>
            <w:tcW w:w="2023" w:type="dxa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生产车间区域，且表面未做硬化</w:t>
            </w:r>
          </w:p>
        </w:tc>
        <w:tc>
          <w:tcPr>
            <w:tcW w:w="156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0-0.5，表层</w:t>
            </w:r>
          </w:p>
        </w:tc>
        <w:tc>
          <w:tcPr>
            <w:tcW w:w="1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无硬化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S5</w:t>
            </w:r>
          </w:p>
        </w:tc>
        <w:tc>
          <w:tcPr>
            <w:tcW w:w="1605" w:type="dxa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待清洗包装桶仓库东侧</w:t>
            </w:r>
          </w:p>
        </w:tc>
        <w:tc>
          <w:tcPr>
            <w:tcW w:w="2023" w:type="dxa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废桶存储区，</w:t>
            </w:r>
            <w:r>
              <w:rPr>
                <w:rFonts w:hint="eastAsia" w:ascii="Times New Roman" w:hAnsi="Times New Roman" w:eastAsia="仿宋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表面未做硬化</w:t>
            </w:r>
          </w:p>
        </w:tc>
        <w:tc>
          <w:tcPr>
            <w:tcW w:w="156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 w:val="24"/>
                <w:szCs w:val="24"/>
                <w:vertAlign w:val="baseline"/>
                <w:lang w:val="en-US" w:eastAsia="zh-CN"/>
              </w:rPr>
              <w:t>0-0.5，表层</w:t>
            </w:r>
          </w:p>
        </w:tc>
        <w:tc>
          <w:tcPr>
            <w:tcW w:w="1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无硬化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S6</w:t>
            </w:r>
          </w:p>
        </w:tc>
        <w:tc>
          <w:tcPr>
            <w:tcW w:w="1605" w:type="dxa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危废仓库西侧</w:t>
            </w:r>
          </w:p>
        </w:tc>
        <w:tc>
          <w:tcPr>
            <w:tcW w:w="2023" w:type="dxa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危废存储区，靠近初期雨水收集池，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表面未做硬化</w:t>
            </w:r>
          </w:p>
        </w:tc>
        <w:tc>
          <w:tcPr>
            <w:tcW w:w="156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略低于隐蔽性底部与土壤的接触面</w:t>
            </w:r>
          </w:p>
        </w:tc>
        <w:tc>
          <w:tcPr>
            <w:tcW w:w="1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无硬化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不涉及</w:t>
            </w:r>
          </w:p>
        </w:tc>
      </w:tr>
    </w:tbl>
    <w:p>
      <w:pPr>
        <w:widowControl w:val="0"/>
        <w:numPr>
          <w:ilvl w:val="0"/>
          <w:numId w:val="0"/>
        </w:numPr>
        <w:ind w:left="0" w:leftChars="0" w:firstLine="0" w:firstLineChars="0"/>
        <w:jc w:val="center"/>
        <w:rPr>
          <w:rFonts w:hint="default" w:ascii="Times New Roman" w:hAnsi="Times New Roman" w:eastAsia="仿宋" w:cs="Times New Roman"/>
          <w:b/>
          <w:bCs/>
          <w:sz w:val="24"/>
          <w:szCs w:val="24"/>
          <w:u w:val="single"/>
          <w:vertAlign w:val="baseli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4"/>
          <w:szCs w:val="24"/>
          <w:u w:val="single"/>
          <w:vertAlign w:val="baseline"/>
          <w:lang w:val="en-US" w:eastAsia="zh-CN"/>
        </w:rPr>
        <w:t>备注：标红为2024年监测点位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8"/>
          <w:szCs w:val="28"/>
          <w:highlight w:val="none"/>
        </w:rPr>
        <w:t>土壤监测项目</w:t>
      </w:r>
      <w:bookmarkEnd w:id="0"/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rPr>
          <w:rFonts w:ascii="Times New Roman" w:hAnsi="Times New Roman" w:eastAsia="仿宋" w:cs="Times New Roman"/>
          <w:color w:val="000000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本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</w:rPr>
        <w:t>地块土壤检测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项目确定为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</w:rPr>
        <w:t>：①基本项目：GB36600中基本项目45项（包含特征污染物砷等）和pH；②其他特征污染物：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DMF、挥发酚。</w:t>
      </w:r>
    </w:p>
    <w:p>
      <w:pPr>
        <w:widowControl/>
        <w:jc w:val="center"/>
        <w:rPr>
          <w:rFonts w:hint="default" w:ascii="Times New Roman" w:hAnsi="Times New Roman" w:eastAsia="仿宋" w:cs="Times New Roman"/>
          <w:b/>
          <w:bCs/>
          <w:color w:val="000000"/>
          <w:kern w:val="0"/>
          <w:sz w:val="24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24"/>
          <w:highlight w:val="none"/>
        </w:rPr>
        <w:t>表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24"/>
          <w:highlight w:val="none"/>
          <w:lang w:val="en-US" w:eastAsia="zh-CN"/>
        </w:rPr>
        <w:t>4.5-2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24"/>
          <w:highlight w:val="none"/>
        </w:rPr>
        <w:t>土壤检测项目</w:t>
      </w:r>
    </w:p>
    <w:tbl>
      <w:tblPr>
        <w:tblStyle w:val="7"/>
        <w:tblW w:w="5079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109"/>
        <w:gridCol w:w="8150"/>
        <w:gridCol w:w="338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3" w:type="pct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288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bookmarkStart w:id="1" w:name="_Toc1083"/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356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288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监测因子</w:t>
            </w:r>
          </w:p>
        </w:tc>
        <w:tc>
          <w:tcPr>
            <w:tcW w:w="1174" w:type="pct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288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bookmarkStart w:id="2" w:name="_GoBack"/>
            <w:bookmarkEnd w:id="2"/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识别原因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土壤</w:t>
            </w:r>
          </w:p>
        </w:tc>
        <w:tc>
          <w:tcPr>
            <w:tcW w:w="732" w:type="pct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重金属（7项）</w:t>
            </w:r>
          </w:p>
        </w:tc>
        <w:tc>
          <w:tcPr>
            <w:tcW w:w="2829" w:type="pct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砷、镉、六价铬、铜、铅、汞、镍</w:t>
            </w:r>
          </w:p>
        </w:tc>
        <w:tc>
          <w:tcPr>
            <w:tcW w:w="1174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288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《土壤环境质量建设用地土壤污染风险管控标准(试行)》(GB36600-2018）基本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45项目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pct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挥发性有机物（27项）</w:t>
            </w:r>
          </w:p>
        </w:tc>
        <w:tc>
          <w:tcPr>
            <w:tcW w:w="2829" w:type="pct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四氯化碳、氯仿、氯甲烷、1,1-二氯乙烷、1,2-二氯乙烷、1,1-二氯乙烯、顺-1,2-二氯乙烯、反-1,2-二氯乙烯、二氯甲烷、1,2-二氯丙烷、1,1,1,2-四氯乙烷、1,1,2,2-四氯乙烷、四氯乙烯、1,1,1-三氯乙烷、1,1,2-三氯乙烷、三氯乙烯、1,2,3-三氯丙烷、氯乙烯、苯、氯苯、1,2-二氯苯、1,4-二氯苯、乙苯、苯乙烯、甲苯、间二甲苯+对二甲苯、邻二甲苯</w:t>
            </w:r>
          </w:p>
        </w:tc>
        <w:tc>
          <w:tcPr>
            <w:tcW w:w="117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288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288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pct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288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半挥发性有机物（11项）</w:t>
            </w:r>
          </w:p>
        </w:tc>
        <w:tc>
          <w:tcPr>
            <w:tcW w:w="2829" w:type="pct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288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硝基苯、苯胺、2-氯酚、苯并（a)蒽、苯并（a)芘、苯并（b)荧蒽、苯并（k)荧蒽、䓛、二苯并（ah）蒽、茚并（1,2,3-cd)芘、萘</w:t>
            </w:r>
          </w:p>
        </w:tc>
        <w:tc>
          <w:tcPr>
            <w:tcW w:w="1174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288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288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pct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288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其他特征污染物</w:t>
            </w:r>
          </w:p>
        </w:tc>
        <w:tc>
          <w:tcPr>
            <w:tcW w:w="2829" w:type="pct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288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pH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、石油烃（C10-C40）、挥发酚、DMF</w:t>
            </w:r>
          </w:p>
        </w:tc>
        <w:tc>
          <w:tcPr>
            <w:tcW w:w="1174" w:type="pct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288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>
      <w:pPr>
        <w:pStyle w:val="5"/>
        <w:numPr>
          <w:ilvl w:val="0"/>
          <w:numId w:val="0"/>
        </w:numPr>
        <w:outlineLvl w:val="9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8"/>
          <w:szCs w:val="28"/>
          <w:highlight w:val="none"/>
          <w:lang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8"/>
          <w:szCs w:val="28"/>
          <w:highlight w:val="none"/>
        </w:rPr>
        <w:t>地下水监测项目</w:t>
      </w:r>
      <w:bookmarkEnd w:id="1"/>
    </w:p>
    <w:p>
      <w:pPr>
        <w:widowControl/>
        <w:ind w:firstLine="560" w:firstLineChars="200"/>
        <w:jc w:val="left"/>
        <w:rPr>
          <w:rFonts w:ascii="Times New Roman" w:hAnsi="Times New Roman" w:eastAsia="仿宋" w:cs="Times New Roman"/>
          <w:color w:val="000000"/>
          <w:kern w:val="0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  <w:highlight w:val="none"/>
        </w:rPr>
        <w:t>地下水检测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highlight w:val="none"/>
          <w:lang w:val="en-US" w:eastAsia="zh-CN"/>
        </w:rPr>
        <w:t>项目</w:t>
      </w: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  <w:highlight w:val="none"/>
        </w:rPr>
        <w:t>需包括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highlight w:val="none"/>
          <w:lang w:val="en-US" w:eastAsia="zh-CN"/>
        </w:rPr>
        <w:t>地下水常规项、土壤45项和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lang w:val="en-US" w:eastAsia="zh-CN"/>
        </w:rPr>
        <w:t>HJ 164 附录 F 中对应行业的特征项目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highlight w:val="none"/>
          <w:lang w:val="en-US" w:eastAsia="zh-CN"/>
        </w:rPr>
        <w:t>，具体检测项目</w:t>
      </w: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  <w:highlight w:val="none"/>
        </w:rPr>
        <w:t>见表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highlight w:val="none"/>
          <w:lang w:val="en-US" w:eastAsia="zh-CN"/>
        </w:rPr>
        <w:t>4.5</w:t>
      </w: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  <w:highlight w:val="none"/>
        </w:rPr>
        <w:t>-</w:t>
      </w:r>
      <w:r>
        <w:rPr>
          <w:rFonts w:hint="eastAsia" w:ascii="Times New Roman" w:hAnsi="Times New Roman" w:eastAsia="仿宋" w:cs="Times New Roman"/>
          <w:color w:val="000000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  <w:highlight w:val="none"/>
        </w:rPr>
        <w:t>。</w:t>
      </w:r>
    </w:p>
    <w:p>
      <w:pPr>
        <w:pStyle w:val="4"/>
        <w:jc w:val="center"/>
        <w:rPr>
          <w:rFonts w:hint="default" w:ascii="Times New Roman" w:hAnsi="Times New Roman" w:eastAsia="仿宋" w:cs="Times New Roman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24"/>
          <w:szCs w:val="24"/>
          <w:highlight w:val="none"/>
        </w:rPr>
        <w:t>表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4.5-3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24"/>
          <w:szCs w:val="24"/>
          <w:highlight w:val="none"/>
        </w:rPr>
        <w:t xml:space="preserve"> 地下水检测项目</w:t>
      </w:r>
    </w:p>
    <w:tbl>
      <w:tblPr>
        <w:tblStyle w:val="7"/>
        <w:tblW w:w="5079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108"/>
        <w:gridCol w:w="8154"/>
        <w:gridCol w:w="337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地下水</w:t>
            </w:r>
          </w:p>
        </w:tc>
        <w:tc>
          <w:tcPr>
            <w:tcW w:w="732" w:type="pct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重金属（7项）</w:t>
            </w:r>
          </w:p>
        </w:tc>
        <w:tc>
          <w:tcPr>
            <w:tcW w:w="2830" w:type="pct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砷、镉、六价铬、铜、铅、汞、镍</w:t>
            </w:r>
          </w:p>
        </w:tc>
        <w:tc>
          <w:tcPr>
            <w:tcW w:w="117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288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《土壤环境质量建设用地土壤污染风险管控标准(试行)》(GB36600-2018）基本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45项目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pct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挥发性有机物（27项）</w:t>
            </w:r>
          </w:p>
        </w:tc>
        <w:tc>
          <w:tcPr>
            <w:tcW w:w="2830" w:type="pct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四氯化碳、氯仿、氯甲烷、1,1-二氯乙烷、1,2-二氯乙烷、1,1-二氯乙烯、顺-1,2-二氯乙烯、反-1,2-二氯乙烯、二氯甲烷、1,2-二氯丙烷、1,1,1,2-四氯乙烷、1,1,2,2-四氯乙烷、四氯乙烯、1,1,1-三氯乙烷、1,1,2-三氯乙烷、三氯乙烯、1,2,3-三氯丙烷、氯乙烯、苯、氯苯、1,2-二氯苯、1,4-二氯苯、乙苯、苯乙烯、甲苯、间二甲苯+对二甲苯、邻二甲苯</w:t>
            </w:r>
          </w:p>
        </w:tc>
        <w:tc>
          <w:tcPr>
            <w:tcW w:w="117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288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288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pct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288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半挥发性有机物（11项）</w:t>
            </w:r>
          </w:p>
        </w:tc>
        <w:tc>
          <w:tcPr>
            <w:tcW w:w="2830" w:type="pct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288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硝基苯、苯胺、2-氯酚、苯并（a)蒽、苯并（a)芘、苯并（b)荧蒽、苯并（k)荧蒽、䓛、二苯并（ah）蒽、茚并（1,2,3-cd)芘、萘</w:t>
            </w:r>
          </w:p>
        </w:tc>
        <w:tc>
          <w:tcPr>
            <w:tcW w:w="117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288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288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288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色度、臭和味、浑浊度、肉眼可见物、pH值、总硬度、溶解性总固体、硫酸盐、氯化物、铁、锰、锌、铝、挥发性酚类、阴离子表面活性剂、耗氧量、氨氮、硫化物、钠、亚硝酸盐氮、硝酸盐氮、氰化物、氟化物、碘化物、硒</w:t>
            </w:r>
          </w:p>
        </w:tc>
        <w:tc>
          <w:tcPr>
            <w:tcW w:w="1173" w:type="pct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288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除45项包含的监测项目外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  <w:t>GB/T 14848常规指标中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  <w:t>感官性状及一般化学指标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  <w:t>和“毒理学指标”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、HJ164HJ 164 附录 F 中对应行业的特征项目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288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288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DMF、石油烃（C10-C40）</w:t>
            </w:r>
          </w:p>
        </w:tc>
        <w:tc>
          <w:tcPr>
            <w:tcW w:w="1173" w:type="pct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288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其他检测因子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8010525" cy="4767580"/>
            <wp:effectExtent l="0" t="0" r="9525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10525" cy="476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default" w:ascii="仿宋" w:hAnsi="仿宋" w:eastAsia="仿宋" w:cs="仿宋"/>
          <w:b/>
          <w:bCs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图6.2-1 土壤和地下水监测点位图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5DE27B"/>
    <w:multiLevelType w:val="singleLevel"/>
    <w:tmpl w:val="995DE27B"/>
    <w:lvl w:ilvl="0" w:tentative="0">
      <w:start w:val="1"/>
      <w:numFmt w:val="bullet"/>
      <w:pStyle w:val="5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ZmRhYWQ3OTk5MzExZTUwZDI3MThmODRmNzVlZWQifQ=="/>
  </w:docVars>
  <w:rsids>
    <w:rsidRoot w:val="00000000"/>
    <w:rsid w:val="15D4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firstLine="630"/>
    </w:pPr>
    <w:rPr>
      <w:sz w:val="28"/>
      <w:szCs w:val="20"/>
    </w:rPr>
  </w:style>
  <w:style w:type="paragraph" w:styleId="4">
    <w:name w:val="Body Text"/>
    <w:basedOn w:val="1"/>
    <w:next w:val="1"/>
    <w:qFormat/>
    <w:uiPriority w:val="1"/>
    <w:rPr>
      <w:szCs w:val="28"/>
    </w:rPr>
  </w:style>
  <w:style w:type="paragraph" w:styleId="5">
    <w:name w:val="List Bullet 5"/>
    <w:basedOn w:val="1"/>
    <w:uiPriority w:val="0"/>
    <w:pPr>
      <w:numPr>
        <w:ilvl w:val="0"/>
        <w:numId w:val="1"/>
      </w:numPr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2024-01-11T01:59:36Z</dcterms:created>
  <dc:creator>NING MEI</dc:creator>
  <cp:lastModifiedBy>易中俊</cp:lastModifiedBy>
  <dcterms:modified xsi:type="dcterms:W3CDTF">2024-01-11T02:12:44Z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AD754A666B5B452296FA7CD8C0D80686_12</vt:lpwstr>
  </property>
</Properties>
</file>